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2" w:rsidRPr="00D00A92" w:rsidRDefault="00D00A92" w:rsidP="00D00A92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D00A92" w:rsidRPr="00D00A92" w:rsidRDefault="00D00A92" w:rsidP="00D00A92">
      <w:pPr>
        <w:spacing w:before="200"/>
        <w:jc w:val="center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32"/>
          <w:szCs w:val="32"/>
          <w:lang w:val="ru-RU"/>
        </w:rPr>
        <w:t xml:space="preserve">Официальная позиция РАЭК </w:t>
      </w:r>
      <w:r w:rsidRPr="00D00A92">
        <w:rPr>
          <w:rFonts w:ascii="Arial" w:hAnsi="Arial" w:cs="Arial"/>
          <w:b/>
          <w:bCs/>
          <w:color w:val="333333"/>
          <w:sz w:val="32"/>
          <w:szCs w:val="32"/>
          <w:lang w:val="ru-RU"/>
        </w:rPr>
        <w:br/>
        <w:t>по законопроекту № 1003299-6</w:t>
      </w:r>
      <w:r w:rsidRPr="00D00A92">
        <w:rPr>
          <w:rFonts w:ascii="Arial" w:hAnsi="Arial" w:cs="Arial"/>
          <w:b/>
          <w:bCs/>
          <w:color w:val="333333"/>
          <w:sz w:val="32"/>
          <w:szCs w:val="32"/>
          <w:lang w:val="ru-RU"/>
        </w:rPr>
        <w:br/>
        <w:t>(</w:t>
      </w:r>
      <w:bookmarkStart w:id="0" w:name="_GoBack"/>
      <w:r w:rsidRPr="00D00A92">
        <w:rPr>
          <w:rFonts w:ascii="Arial" w:hAnsi="Arial" w:cs="Arial"/>
          <w:b/>
          <w:bCs/>
          <w:color w:val="333333"/>
          <w:sz w:val="32"/>
          <w:szCs w:val="32"/>
          <w:lang w:val="ru-RU"/>
        </w:rPr>
        <w:t>введение  упрощенной идентификации пользователей</w:t>
      </w:r>
      <w:bookmarkEnd w:id="0"/>
      <w:r w:rsidRPr="00D00A92">
        <w:rPr>
          <w:rFonts w:ascii="Arial" w:hAnsi="Arial" w:cs="Arial"/>
          <w:b/>
          <w:bCs/>
          <w:color w:val="333333"/>
          <w:sz w:val="32"/>
          <w:szCs w:val="32"/>
          <w:lang w:val="ru-RU"/>
        </w:rPr>
        <w:t>)</w:t>
      </w:r>
    </w:p>
    <w:p w:rsidR="00D00A92" w:rsidRPr="00D00A92" w:rsidRDefault="00D00A92" w:rsidP="00D00A92">
      <w:pPr>
        <w:spacing w:before="200"/>
        <w:jc w:val="center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lang w:val="ru-RU"/>
        </w:rPr>
        <w:t>9 марта 2016 года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</w:p>
    <w:p w:rsidR="00D00A92" w:rsidRPr="00D00A92" w:rsidRDefault="00D00A92" w:rsidP="00D00A92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Ассоциация электронных коммуникаций (НП «РАЭК») и эксперты Кластера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«РАЭК / Электронная коммерция»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, объединяющего игроков рынка электронной̆ коммерции, работающих в России, рассмотрели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проект Федерального закона № 1003299-6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(О внесении изменений в отдельные законодательные акты Российской Федерации – в части совершенствования порядка осуществления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процедур идентификации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), внесенный  Членами Совета Федерации О.А. </w:t>
      </w:r>
      <w:proofErr w:type="spellStart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Казаковцевым</w:t>
      </w:r>
      <w:proofErr w:type="spellEnd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, Н.А. Журавлевым 24 февраля 2016 года (см.</w:t>
      </w:r>
      <w:hyperlink r:id="rId5" w:history="1">
        <w:r w:rsidRPr="00D00A92">
          <w:rPr>
            <w:rFonts w:ascii="Arial" w:hAnsi="Arial" w:cs="Arial"/>
            <w:color w:val="333333"/>
            <w:sz w:val="18"/>
            <w:szCs w:val="18"/>
            <w:lang w:val="ru-RU"/>
          </w:rPr>
          <w:t xml:space="preserve"> </w:t>
        </w:r>
        <w:r w:rsidRPr="00D00A92">
          <w:rPr>
            <w:rFonts w:ascii="Arial" w:hAnsi="Arial" w:cs="Arial"/>
            <w:color w:val="333333"/>
            <w:sz w:val="18"/>
            <w:szCs w:val="18"/>
            <w:u w:val="single"/>
            <w:lang w:val="ru-RU"/>
          </w:rPr>
          <w:t>http://asozd2c.duma.gov.ru/main.nsf/%28Spravka%29?OpenAgent&amp;RN=1003299-6</w:t>
        </w:r>
      </w:hyperlink>
      <w:r w:rsidRPr="00D00A92">
        <w:rPr>
          <w:rFonts w:ascii="Arial" w:hAnsi="Arial" w:cs="Arial"/>
          <w:color w:val="333333"/>
          <w:sz w:val="18"/>
          <w:szCs w:val="18"/>
          <w:lang w:val="ru-RU"/>
        </w:rPr>
        <w:t>).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>Суть законопроекта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>Активное развитие новых банковских технологий удаленного взаимодействия с клиентом и ограниченное использование упрощенной идентификации в российском законодательстве о ПОД/ФТ привели к необходимости модернизации российского законодательства, регулирующего деятельность по ПОД/ФТ.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На заседании Экспертного совета по законодательству о банковской деятельности и аудите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при Комитете Государственной Думы Федерального Собрания Российской Федерации по финансовому рынку, которое состоялось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 xml:space="preserve">11.09.2015 года, 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 была рассмотрена и поддержана Концепция модернизации законодательства о ПОД/ФТ в части совершенствования порядка осуществления идентификации, которая на протяжении нескольких последних лет разрабатывалась участниками финансового рынка.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>На основе указанной Концепции был разработан Законопроект «О внесении изменений в отдельные законодательные акты Российской Федерации (в части совершенствования порядка осуществления процедур идентификации)».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Законопроект предполагает установление обязанности по предоставлению клиенту-физическому лицу возможности использования любого одного из трех законодательно установленных способов упрощенной идентификации, а не всех трех.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>Это обусловлено тем, что сложившаяся ситуация приводит к объективной невозможности исполнения финансовыми организациями требования Федерального закона от 27.06.2011 № 161-ФЗ «О национальной платежной системе». С одной стороны, законодательно установлена возможность использования кредитными организациями различных информационных систем для обеспечения осуществления упрощенной идентификации клиентов-физических лиц, а с другой – те сервисы, которые необходимы для проведения упрощенной идентификации, отсутствуют, а возможность актуализации данных в Единой системе идентификации и аутентификации просто не предусмотрена.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Также Законопроект предусматривает урегулирование процедуры подтверждения ранее проведенной идентификации (аутентификации)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, закрепляет условия, одновременное наличие которых дает право кредитной организации не проводить данную процедуру повторно. 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Предлагается законодательно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закрепить особенности совершения операций с использованием платежной (банковской) карты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, предусмотренные Положением № 499-П, и установить, что при упрощенной идентификации клиента-физического лица идентификация представителя и (или) выгодоприобретателя клиента – физического лица, а также </w:t>
      </w:r>
      <w:proofErr w:type="spellStart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бенефициарного</w:t>
      </w:r>
      <w:proofErr w:type="spellEnd"/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владельца </w:t>
      </w:r>
      <w:proofErr w:type="spellStart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клиента-физического</w:t>
      </w:r>
      <w:proofErr w:type="spellEnd"/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лица не проводится.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lastRenderedPageBreak/>
        <w:t xml:space="preserve">Кроме того, предполагается, что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минимальная сумма операций, при совершении которых не проводится идентификация, а также может проводиться упрощенная идентификация, будет увеличена до 40 000 рублей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Согласно законопроекту,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разрешается поручать проведение идентификации в рамках банковской группы любой из входящих в нее организаций,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являющихся субъектами исполнения Федерального закона от 07.08.2001 № 115-ФЗ «О противодействии легализации (отмыванию) доходов, полученных преступным путем, и финансированию терроризма». В законопроекте перечислены условия привлечения третьих лиц для проведения идентификации и дополнен перечень организаций, имеющих право поручать проведение идентификации только кредитным организациям.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Законопроект устанавливает, что для целей проведения идентификации организацией, осуществляющей операции с денежными средствами и иным имуществом,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могут использоваться документы в электронной форме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, электронный образ которых должен быть засвидетельствован усиленной квалифицированной электронной подписью нотариуса или лица, издавшего оригинал документа. Также разрешается предоставлять документы в электронном сообщении, подписанном электронной подписью, в том числе с использованием сети Интернет.</w:t>
      </w:r>
    </w:p>
    <w:p w:rsidR="00D00A92" w:rsidRPr="00D00A92" w:rsidRDefault="00D00A92" w:rsidP="00D00A92">
      <w:pPr>
        <w:spacing w:before="200"/>
        <w:ind w:left="720" w:hanging="20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>Суть отраслевой проблемы, связанной с темой законопроекта</w:t>
      </w:r>
    </w:p>
    <w:p w:rsidR="00D00A92" w:rsidRPr="00D00A92" w:rsidRDefault="00D00A92" w:rsidP="00D00A92">
      <w:pPr>
        <w:numPr>
          <w:ilvl w:val="0"/>
          <w:numId w:val="1"/>
        </w:numPr>
        <w:spacing w:before="200"/>
        <w:jc w:val="both"/>
        <w:textAlignment w:val="baseline"/>
        <w:rPr>
          <w:rFonts w:ascii="Arial" w:hAnsi="Arial" w:cs="Arial"/>
          <w:color w:val="333333"/>
          <w:sz w:val="18"/>
          <w:szCs w:val="18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требуется проведение идентификации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клиентов–физических лиц, осуществляющих операции с денежными средствами или иным имуществом, в том числе различные виды платежей, на сумму свыше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15 000 рублей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либо сумму в иностранной валюте, эквивалентную 15 000 рублей. Обычно для проведения операций свыше 15000 рублей необходимо предоставить свои реквизиты (ФИО, серию и номер паспорта). 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br/>
        <w:t xml:space="preserve">Такой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 xml:space="preserve">“заниженный”, по мнению отрасли электронной коммерции, 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порог, оказывал дополнительную нагрузку на продавца и покупателя при совершении покупок и доставке товара, в первую очередь – при оплате наличными деньгами курьеру.  </w:t>
      </w:r>
    </w:p>
    <w:p w:rsidR="00D00A92" w:rsidRPr="00D00A92" w:rsidRDefault="00D00A92" w:rsidP="00D00A92">
      <w:pPr>
        <w:numPr>
          <w:ilvl w:val="0"/>
          <w:numId w:val="1"/>
        </w:numPr>
        <w:spacing w:before="200"/>
        <w:jc w:val="both"/>
        <w:textAlignment w:val="baseline"/>
        <w:rPr>
          <w:rFonts w:ascii="Arial" w:hAnsi="Arial" w:cs="Arial"/>
          <w:color w:val="333333"/>
          <w:sz w:val="18"/>
          <w:szCs w:val="18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>Если рассматривать указанное положение с учетом требований Федерального закона от 03.06.2009 № 103-ФЗ «О деятельности по приему платежей физических лиц, осуществляемой платежными агентами», который предусматривает, что  оператор по приему платежей (платежный агент) в целях соблюдения требований законодательства о противодействии легализации (отмыванию) доходов, полученных преступным путем, и финансированию терроризма в установленных законом случаях должен проводить идентификацию физического лица, осуществляющего платеж. Д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ля этого необходимо выполнение определенных требований, среди которых использование специального банковского счета.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br/>
        <w:t xml:space="preserve">Таким образом, согласно требованиям действующего законодательства,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оператор по приему платежей (платежный агент) должен идентифицировать плательщиков, вносящих суммы свыше 15 000 рублей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. 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При этом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платежному субагенту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(юридическое лицо или индивидуальный предприниматель, заключившие с оператором по приему платежей договор об осуществлении деятельности по приему платежей физических лиц)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вообще запрещено принимать крупные платежи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.</w:t>
      </w:r>
    </w:p>
    <w:p w:rsidR="00D00A92" w:rsidRPr="00D00A92" w:rsidRDefault="00D00A92" w:rsidP="00D00A92">
      <w:pPr>
        <w:spacing w:before="200"/>
        <w:ind w:left="7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>Данная проблема активно обсуждалась в рамках Кластера “РАЭК / Электронная коммерция” и в итоге стала одной из основных, вынесенной в повестку круглого стола “Интернет + ТОРГОВЛЯ” в рамках Форума “Интернет экономика 2015” в декабре 2015 года (</w:t>
      </w:r>
      <w:hyperlink r:id="rId6" w:history="1">
        <w:r w:rsidRPr="00D00A92">
          <w:rPr>
            <w:rFonts w:ascii="Arial" w:hAnsi="Arial" w:cs="Arial"/>
            <w:color w:val="1155CC"/>
            <w:sz w:val="18"/>
            <w:szCs w:val="18"/>
            <w:u w:val="single"/>
            <w:lang w:val="ru-RU"/>
          </w:rPr>
          <w:t>http://ie.iri.center/</w:t>
        </w:r>
      </w:hyperlink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). На данный момент, сами продавцы согласно части 2 статьи 1 закона не подпадают под его действие. По мнению экспертов, необходимо было дополнить часть 2 статьи 1, чтобы сервисы логистики и службы доставки, по поручению продавца доставляющие товар, были приравнены к продавцам и, соответственно, не подпадали под действие №103-ФЗ. </w:t>
      </w:r>
    </w:p>
    <w:p w:rsidR="00D00A92" w:rsidRPr="00D00A92" w:rsidRDefault="00D00A92" w:rsidP="00D00A92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lastRenderedPageBreak/>
        <w:t>Выводы и официальная позиция РАЭК</w:t>
      </w:r>
      <w:r w:rsidRPr="00D00A92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br/>
        <w:t>по законопроекту № 1003299-6</w:t>
      </w:r>
    </w:p>
    <w:p w:rsidR="00D00A92" w:rsidRPr="00D00A92" w:rsidRDefault="00D00A92" w:rsidP="00D00A92">
      <w:pPr>
        <w:spacing w:before="200"/>
        <w:ind w:left="720" w:hanging="20"/>
        <w:jc w:val="both"/>
        <w:rPr>
          <w:rFonts w:ascii="Times" w:hAnsi="Times" w:cs="Times New Roman"/>
          <w:sz w:val="20"/>
          <w:szCs w:val="20"/>
          <w:lang w:val="ru-RU"/>
        </w:rPr>
      </w:pP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Принятие данного законопроекта № 1003299-6 (введение  упрощенной идентификации пользователей) Государственной Думой Российской Федерации в качестве закона </w:t>
      </w: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 xml:space="preserve">будет иметь положительные последствия для сегмента </w:t>
      </w:r>
      <w:proofErr w:type="spellStart"/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e-Commerce</w:t>
      </w:r>
      <w:proofErr w:type="spellEnd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:</w:t>
      </w:r>
    </w:p>
    <w:p w:rsidR="00D00A92" w:rsidRPr="00D00A92" w:rsidRDefault="00D00A92" w:rsidP="00D00A92">
      <w:pPr>
        <w:numPr>
          <w:ilvl w:val="0"/>
          <w:numId w:val="2"/>
        </w:numPr>
        <w:spacing w:before="200"/>
        <w:ind w:left="144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Упрощение идентификации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, как при непосредственном присутствии клиентов-физических лиц, так и посредством использования сети Интернет.</w:t>
      </w:r>
    </w:p>
    <w:p w:rsidR="00D00A92" w:rsidRPr="00D00A92" w:rsidRDefault="00D00A92" w:rsidP="00D00A92">
      <w:pPr>
        <w:numPr>
          <w:ilvl w:val="0"/>
          <w:numId w:val="2"/>
        </w:numPr>
        <w:spacing w:before="200"/>
        <w:ind w:left="144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Отсутствие необходимости проводить идентификацию представителя и (или) выгодоприобретателя клиента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– физического лица, а также </w:t>
      </w:r>
      <w:proofErr w:type="spellStart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бенефициарного</w:t>
      </w:r>
      <w:proofErr w:type="spellEnd"/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владельца </w:t>
      </w:r>
      <w:proofErr w:type="spellStart"/>
      <w:r w:rsidRPr="00D00A92">
        <w:rPr>
          <w:rFonts w:ascii="Arial" w:hAnsi="Arial" w:cs="Arial"/>
          <w:color w:val="333333"/>
          <w:sz w:val="18"/>
          <w:szCs w:val="18"/>
          <w:lang w:val="ru-RU"/>
        </w:rPr>
        <w:t>клиента-физического</w:t>
      </w:r>
      <w:proofErr w:type="spellEnd"/>
      <w:r w:rsidRPr="00D00A92">
        <w:rPr>
          <w:rFonts w:ascii="Arial" w:hAnsi="Arial" w:cs="Arial"/>
          <w:color w:val="333333"/>
          <w:sz w:val="18"/>
          <w:szCs w:val="18"/>
          <w:lang w:val="ru-RU"/>
        </w:rPr>
        <w:t xml:space="preserve"> лица.</w:t>
      </w:r>
    </w:p>
    <w:p w:rsidR="00D00A92" w:rsidRPr="00D00A92" w:rsidRDefault="00D00A92" w:rsidP="00D00A92">
      <w:pPr>
        <w:numPr>
          <w:ilvl w:val="0"/>
          <w:numId w:val="2"/>
        </w:numPr>
        <w:spacing w:before="200"/>
        <w:ind w:left="144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ru-RU"/>
        </w:rPr>
      </w:pPr>
      <w:r w:rsidRPr="00D00A92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Увеличение минимальной суммы операций, при совершении которых не проводится идентификация, а также может проводиться упрощенная идентификация, до 40 000 рублей</w:t>
      </w:r>
      <w:r w:rsidRPr="00D00A92">
        <w:rPr>
          <w:rFonts w:ascii="Arial" w:hAnsi="Arial" w:cs="Arial"/>
          <w:color w:val="333333"/>
          <w:sz w:val="18"/>
          <w:szCs w:val="18"/>
          <w:lang w:val="ru-RU"/>
        </w:rPr>
        <w:t>.</w:t>
      </w:r>
    </w:p>
    <w:p w:rsidR="00C5112A" w:rsidRPr="00D00A92" w:rsidRDefault="00C5112A" w:rsidP="00D00A92"/>
    <w:sectPr w:rsidR="00C5112A" w:rsidRPr="00D00A92" w:rsidSect="00F50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330"/>
    <w:multiLevelType w:val="multilevel"/>
    <w:tmpl w:val="EC2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33FA3"/>
    <w:multiLevelType w:val="multilevel"/>
    <w:tmpl w:val="179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00A92"/>
    <w:rsid w:val="00261254"/>
    <w:rsid w:val="00372478"/>
    <w:rsid w:val="00841AAE"/>
    <w:rsid w:val="00C5112A"/>
    <w:rsid w:val="00D00A92"/>
    <w:rsid w:val="00F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A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D00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A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D00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.iri.center/" TargetMode="External"/><Relationship Id="rId5" Type="http://schemas.openxmlformats.org/officeDocument/2006/relationships/hyperlink" Target="http://asozd2c.duma.gov.ru/main.nsf/%28Spravka%29?OpenAgent&amp;RN=1003299-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6572</Characters>
  <Application>Microsoft Office Word</Application>
  <DocSecurity>0</DocSecurity>
  <Lines>54</Lines>
  <Paragraphs>15</Paragraphs>
  <ScaleCrop>false</ScaleCrop>
  <Company>d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Vorobieva</dc:creator>
  <cp:lastModifiedBy>AB</cp:lastModifiedBy>
  <cp:revision>2</cp:revision>
  <dcterms:created xsi:type="dcterms:W3CDTF">2016-03-09T12:36:00Z</dcterms:created>
  <dcterms:modified xsi:type="dcterms:W3CDTF">2016-03-09T12:36:00Z</dcterms:modified>
</cp:coreProperties>
</file>